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44"/>
          <w:szCs w:val="40"/>
        </w:rPr>
      </w:pPr>
      <w:r>
        <w:rPr>
          <w:rFonts w:hint="default" w:ascii="Times New Roman" w:hAnsi="Times New Roman" w:eastAsia="方正小标宋简体" w:cs="Times New Roman"/>
          <w:sz w:val="44"/>
          <w:szCs w:val="40"/>
        </w:rPr>
        <w:t>《松江区关于推进专业服务业高质量发展的若干措施》</w:t>
      </w:r>
      <w:bookmarkStart w:id="0" w:name="_GoBack"/>
      <w:bookmarkEnd w:id="0"/>
      <w:r>
        <w:rPr>
          <w:rFonts w:hint="default" w:ascii="Times New Roman" w:hAnsi="Times New Roman" w:eastAsia="方正小标宋简体" w:cs="Times New Roman"/>
          <w:sz w:val="44"/>
          <w:szCs w:val="40"/>
        </w:rPr>
        <w:t>解读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lang w:eastAsia="zh-CN"/>
        </w:rPr>
      </w:pPr>
      <w:r>
        <w:rPr>
          <w:rFonts w:hint="default" w:ascii="Times New Roman" w:hAnsi="Times New Roman" w:eastAsia="黑体" w:cs="Times New Roman"/>
          <w:lang w:eastAsia="zh-CN"/>
        </w:rPr>
        <w:t>一、制订背景及过程</w:t>
      </w:r>
    </w:p>
    <w:p>
      <w:pPr>
        <w:spacing w:line="560" w:lineRule="exact"/>
        <w:ind w:firstLine="640" w:firstLineChars="200"/>
        <w:jc w:val="both"/>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今年以来，市委陈吉宁书记对服务业创新发展提出最新要求。2025年3月，上海市政府办公厅印发</w:t>
      </w:r>
      <w:r>
        <w:rPr>
          <w:rFonts w:hint="eastAsia" w:eastAsia="仿宋_GB2312" w:cs="Calibri"/>
          <w:sz w:val="32"/>
          <w:szCs w:val="32"/>
          <w:highlight w:val="none"/>
        </w:rPr>
        <w:t>《</w:t>
      </w:r>
      <w:r>
        <w:rPr>
          <w:rFonts w:hint="eastAsia" w:ascii="仿宋_GB2312" w:hAnsi="仿宋_GB2312" w:eastAsia="仿宋_GB2312" w:cs="仿宋_GB2312"/>
          <w:sz w:val="32"/>
          <w:szCs w:val="32"/>
          <w:highlight w:val="none"/>
        </w:rPr>
        <w:t>上海市促进服务业创新发展若干措施</w:t>
      </w:r>
      <w:r>
        <w:rPr>
          <w:rFonts w:hint="eastAsia" w:eastAsia="仿宋_GB2312" w:cs="Calibri"/>
          <w:sz w:val="32"/>
          <w:szCs w:val="32"/>
          <w:highlight w:val="none"/>
        </w:rPr>
        <w:t>》。</w:t>
      </w:r>
      <w:r>
        <w:rPr>
          <w:rFonts w:hint="eastAsia" w:ascii="仿宋_GB2312" w:hAnsi="仿宋_GB2312" w:eastAsia="仿宋_GB2312" w:cs="仿宋_GB2312"/>
          <w:sz w:val="32"/>
          <w:szCs w:val="32"/>
          <w:highlight w:val="none"/>
        </w:rPr>
        <w:t>为贯彻落实市委、市政府工作部署，加快推进“四个区”建设，坚持</w:t>
      </w:r>
      <w:r>
        <w:rPr>
          <w:rFonts w:ascii="仿宋_GB2312" w:hAnsi="仿宋_GB2312" w:eastAsia="仿宋_GB2312" w:cs="仿宋_GB2312"/>
          <w:sz w:val="32"/>
          <w:szCs w:val="32"/>
          <w:highlight w:val="none"/>
        </w:rPr>
        <w:t>先进制造业与现代服务业“两手抓”</w:t>
      </w:r>
      <w:r>
        <w:rPr>
          <w:rFonts w:hint="eastAsia" w:ascii="仿宋_GB2312" w:hAnsi="仿宋_GB2312" w:eastAsia="仿宋_GB2312" w:cs="仿宋_GB2312"/>
          <w:sz w:val="32"/>
          <w:szCs w:val="32"/>
          <w:highlight w:val="none"/>
        </w:rPr>
        <w:t>，深化以生产性服务业为重点、生活性服务业为支撑的现代服务业体系，以两业融合发展推进产业结构转型升级，</w:t>
      </w:r>
      <w:r>
        <w:rPr>
          <w:rFonts w:hint="eastAsia" w:eastAsia="仿宋_GB2312" w:cs="Calibri"/>
          <w:sz w:val="32"/>
          <w:szCs w:val="32"/>
          <w:highlight w:val="none"/>
        </w:rPr>
        <w:t>区发改委会同服务业各主管部门对</w:t>
      </w:r>
      <w:r>
        <w:rPr>
          <w:rFonts w:hint="eastAsia" w:ascii="仿宋_GB2312" w:hAnsi="仿宋_GB2312" w:eastAsia="仿宋_GB2312" w:cs="仿宋_GB2312"/>
          <w:sz w:val="32"/>
          <w:szCs w:val="32"/>
          <w:highlight w:val="none"/>
        </w:rPr>
        <w:t>2024年出台的《松江区支持服务业高质量发展的若干意见》进行了研究修订</w:t>
      </w:r>
      <w:r>
        <w:rPr>
          <w:rFonts w:hint="eastAsia" w:ascii="仿宋_GB2312" w:hAnsi="仿宋_GB2312" w:cs="仿宋_GB2312"/>
          <w:sz w:val="32"/>
          <w:szCs w:val="32"/>
          <w:highlight w:val="none"/>
          <w:lang w:eastAsia="zh-CN"/>
        </w:rPr>
        <w:t>，并更名为《松江区关于推进服务业高质量发展的若干意见》。</w:t>
      </w:r>
    </w:p>
    <w:p>
      <w:pPr>
        <w:spacing w:line="560" w:lineRule="exact"/>
        <w:ind w:firstLine="640" w:firstLineChars="200"/>
        <w:jc w:val="both"/>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专业服务业是以专业知识和技术为内涵，为其他产业提供高附加值服务的产业门类。专业服务业是资源高效配置的重要链接，是产业融合发展的关键纽带，也是全球产业竞争的战略制高点。</w:t>
      </w:r>
      <w:r>
        <w:rPr>
          <w:rFonts w:hint="eastAsia" w:ascii="仿宋_GB2312" w:hAnsi="仿宋_GB2312" w:cs="仿宋_GB2312"/>
          <w:sz w:val="32"/>
          <w:szCs w:val="32"/>
          <w:highlight w:val="none"/>
          <w:lang w:eastAsia="zh-CN"/>
        </w:rPr>
        <w:t>鉴于《松江区关于推进服务业高质量发展的若干意见》为原则性表述，为确保该政策在专业服务业领域从“理念”转化为“实效”，根据全区惠企政策体系工作分工，区发改委牵头其他专业服务业细分行业主管部门，在充分吸收市发改委出台的《关于进一步优化发展环境 促进上海专业服务业高质量发展的指导意见》（沪发改产〔2024〕12号）文件精神基础上，结合区情实际深入研究，</w:t>
      </w:r>
      <w:r>
        <w:rPr>
          <w:rFonts w:hint="eastAsia" w:ascii="仿宋_GB2312" w:hAnsi="仿宋_GB2312" w:cs="仿宋_GB2312"/>
          <w:bCs/>
          <w:sz w:val="32"/>
          <w:szCs w:val="32"/>
          <w:lang w:val="en" w:eastAsia="zh-CN"/>
        </w:rPr>
        <w:t>形成</w:t>
      </w:r>
      <w:r>
        <w:rPr>
          <w:rFonts w:hint="eastAsia" w:ascii="仿宋_GB2312" w:hAnsi="仿宋_GB2312" w:cs="仿宋_GB2312"/>
          <w:sz w:val="32"/>
          <w:szCs w:val="32"/>
          <w:highlight w:val="none"/>
          <w:lang w:eastAsia="zh-CN"/>
        </w:rPr>
        <w:t>《松江区关于推进专业服务业高质量发展的若干措施》（以下简称《若干措施》），旨在填补我区专业服务业政策空白，</w:t>
      </w:r>
      <w:r>
        <w:rPr>
          <w:rFonts w:hint="eastAsia" w:ascii="仿宋_GB2312" w:hAnsi="仿宋_GB2312" w:eastAsia="仿宋_GB2312" w:cs="仿宋_GB2312"/>
          <w:sz w:val="32"/>
          <w:szCs w:val="32"/>
          <w:highlight w:val="none"/>
        </w:rPr>
        <w:t>优化专业服务业发展环境，提升专业服务业赋能实体经济发展的能级</w:t>
      </w:r>
      <w:r>
        <w:rPr>
          <w:rFonts w:hint="eastAsia" w:ascii="仿宋_GB2312" w:hAnsi="仿宋_GB2312" w:cs="仿宋_GB2312"/>
          <w:sz w:val="32"/>
          <w:szCs w:val="32"/>
          <w:highlight w:val="none"/>
          <w:lang w:eastAsia="zh-CN"/>
        </w:rPr>
        <w:t>。</w:t>
      </w:r>
    </w:p>
    <w:p>
      <w:pPr>
        <w:spacing w:line="540" w:lineRule="exact"/>
        <w:ind w:firstLine="640" w:firstLineChars="200"/>
        <w:jc w:val="both"/>
        <w:rPr>
          <w:rFonts w:hint="eastAsia"/>
          <w:lang w:eastAsia="zh-CN"/>
        </w:rPr>
      </w:pPr>
      <w:r>
        <w:rPr>
          <w:rFonts w:hint="eastAsia" w:ascii="仿宋_GB2312" w:hAnsi="仿宋" w:eastAsia="仿宋_GB2312" w:cs="仿宋"/>
          <w:color w:val="auto"/>
          <w:sz w:val="32"/>
          <w:szCs w:val="32"/>
          <w:lang w:eastAsia="zh-CN"/>
        </w:rPr>
        <w:t>自《若干措施</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起草过程伊始，区发改委始终与</w:t>
      </w:r>
      <w:r>
        <w:rPr>
          <w:rFonts w:hint="eastAsia" w:ascii="仿宋_GB2312" w:hAnsi="仿宋" w:cs="仿宋"/>
          <w:color w:val="auto"/>
          <w:sz w:val="32"/>
          <w:szCs w:val="32"/>
          <w:lang w:eastAsia="zh-CN"/>
        </w:rPr>
        <w:t>区人社局、区司法局、区市监局等专业</w:t>
      </w:r>
      <w:r>
        <w:rPr>
          <w:rFonts w:hint="eastAsia" w:ascii="仿宋_GB2312" w:hAnsi="仿宋" w:eastAsia="仿宋_GB2312" w:cs="仿宋"/>
          <w:color w:val="auto"/>
          <w:sz w:val="32"/>
          <w:szCs w:val="32"/>
          <w:lang w:eastAsia="zh-CN"/>
        </w:rPr>
        <w:t>服务业细分行业主管部门保持密切联系，</w:t>
      </w:r>
      <w:r>
        <w:rPr>
          <w:rFonts w:hint="eastAsia" w:ascii="仿宋_GB2312" w:hAnsi="仿宋" w:cs="仿宋"/>
          <w:color w:val="auto"/>
          <w:sz w:val="32"/>
          <w:szCs w:val="32"/>
          <w:lang w:eastAsia="zh-CN"/>
        </w:rPr>
        <w:t>结合各部门已出台的存量专项政策，讨论条款必要性与可行性</w:t>
      </w:r>
      <w:r>
        <w:rPr>
          <w:rFonts w:hint="default" w:ascii="Times New Roman" w:hAnsi="Times New Roman" w:cs="Times New Roman"/>
          <w:lang w:eastAsia="zh-CN"/>
        </w:rPr>
        <w:t>，切实细化、优化</w:t>
      </w:r>
      <w:r>
        <w:rPr>
          <w:rFonts w:hint="eastAsia" w:ascii="Times New Roman" w:hAnsi="Times New Roman" w:cs="Times New Roman"/>
          <w:lang w:eastAsia="zh-CN"/>
        </w:rPr>
        <w:t>支持方式与支持力度</w:t>
      </w:r>
      <w:r>
        <w:rPr>
          <w:rFonts w:hint="default" w:ascii="Times New Roman" w:hAnsi="Times New Roman" w:cs="Times New Roman"/>
          <w:lang w:eastAsia="zh-CN"/>
        </w:rPr>
        <w:t>，在贯彻落实区领导要求并吸收各相关单位和代表企业宝贵意见的基础上，形成草案。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lang w:eastAsia="zh-CN"/>
        </w:rPr>
      </w:pPr>
      <w:r>
        <w:rPr>
          <w:rFonts w:hint="default" w:ascii="Times New Roman" w:hAnsi="Times New Roman" w:eastAsia="黑体" w:cs="Times New Roman"/>
          <w:lang w:eastAsia="zh-CN"/>
        </w:rPr>
        <w:t>二、制订考虑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cs="Times New Roman"/>
          <w:lang w:eastAsia="zh-CN"/>
        </w:rPr>
      </w:pPr>
      <w:r>
        <w:rPr>
          <w:rFonts w:hint="default" w:ascii="Times New Roman" w:hAnsi="Times New Roman" w:cs="Times New Roman"/>
          <w:lang w:eastAsia="zh-CN"/>
        </w:rPr>
        <w:t>《</w:t>
      </w:r>
      <w:r>
        <w:rPr>
          <w:rFonts w:hint="eastAsia" w:ascii="Times New Roman" w:hAnsi="Times New Roman" w:cs="Times New Roman"/>
          <w:lang w:eastAsia="zh-CN"/>
        </w:rPr>
        <w:t>若干措施</w:t>
      </w:r>
      <w:r>
        <w:rPr>
          <w:rFonts w:hint="default" w:ascii="Times New Roman" w:hAnsi="Times New Roman" w:cs="Times New Roman"/>
          <w:lang w:eastAsia="zh-CN"/>
        </w:rPr>
        <w:t>》制订过程中主要考虑以下三个方面：</w:t>
      </w:r>
      <w:r>
        <w:rPr>
          <w:rFonts w:hint="default" w:ascii="Times New Roman" w:hAnsi="Times New Roman" w:cs="Times New Roman"/>
          <w:b/>
          <w:bCs/>
          <w:lang w:eastAsia="zh-CN"/>
        </w:rPr>
        <w:t>一是</w:t>
      </w:r>
      <w:r>
        <w:rPr>
          <w:rFonts w:hint="eastAsia" w:ascii="Times New Roman" w:hAnsi="Times New Roman" w:cs="Times New Roman"/>
          <w:b w:val="0"/>
          <w:bCs w:val="0"/>
          <w:lang w:eastAsia="zh-CN"/>
        </w:rPr>
        <w:t>打通循环，吸引集聚</w:t>
      </w:r>
      <w:r>
        <w:rPr>
          <w:rFonts w:hint="default" w:ascii="Times New Roman" w:hAnsi="Times New Roman" w:cs="Times New Roman"/>
          <w:b w:val="0"/>
          <w:bCs w:val="0"/>
          <w:lang w:eastAsia="zh-CN"/>
        </w:rPr>
        <w:t>。</w:t>
      </w:r>
      <w:r>
        <w:rPr>
          <w:rFonts w:hint="eastAsia" w:ascii="Times New Roman" w:hAnsi="Times New Roman" w:cs="Times New Roman"/>
          <w:lang w:eastAsia="zh-CN"/>
        </w:rPr>
        <w:t>考虑到我区制造业根基深厚，但专业服务业发展较为薄弱，《若干措施》推出专业服务券，</w:t>
      </w:r>
      <w:r>
        <w:rPr>
          <w:rFonts w:hint="eastAsia" w:ascii="仿宋_GB2312" w:hAnsi="仿宋_GB2312" w:eastAsia="仿宋_GB2312" w:cs="仿宋_GB2312"/>
          <w:sz w:val="32"/>
          <w:szCs w:val="32"/>
        </w:rPr>
        <w:t>抢抓区内先进制造业迫切需要专业服务帮助开拓国内国际两个市场的窗口机遇，在更好支持区内企业的基础上，吸引更多专业服务业企业</w:t>
      </w:r>
      <w:r>
        <w:rPr>
          <w:rFonts w:hint="eastAsia" w:ascii="仿宋_GB2312" w:hAnsi="仿宋_GB2312" w:cs="仿宋_GB2312"/>
          <w:sz w:val="32"/>
          <w:szCs w:val="32"/>
          <w:lang w:eastAsia="zh-CN"/>
        </w:rPr>
        <w:t>集聚</w:t>
      </w:r>
      <w:r>
        <w:rPr>
          <w:rFonts w:hint="eastAsia" w:ascii="Times New Roman" w:hAnsi="Times New Roman" w:cs="Times New Roman"/>
          <w:lang w:eastAsia="zh-CN"/>
        </w:rPr>
        <w:t>。</w:t>
      </w:r>
      <w:r>
        <w:rPr>
          <w:rFonts w:hint="default" w:ascii="Times New Roman" w:hAnsi="Times New Roman" w:cs="Times New Roman"/>
          <w:b/>
          <w:bCs/>
          <w:lang w:eastAsia="zh-CN"/>
        </w:rPr>
        <w:t>二是</w:t>
      </w:r>
      <w:r>
        <w:rPr>
          <w:rFonts w:hint="eastAsia" w:ascii="Times New Roman" w:hAnsi="Times New Roman" w:cs="Times New Roman"/>
          <w:b w:val="0"/>
          <w:bCs w:val="0"/>
          <w:lang w:eastAsia="zh-CN"/>
        </w:rPr>
        <w:t>点面结合，深化协作。</w:t>
      </w:r>
      <w:r>
        <w:rPr>
          <w:rFonts w:hint="eastAsia" w:ascii="Times New Roman" w:hAnsi="Times New Roman" w:cs="Times New Roman"/>
          <w:lang w:eastAsia="zh-CN"/>
        </w:rPr>
        <w:t>《若干措施》同时包含专业服务业通用性条款与细分行业专项条款，既通过通用条款夯实整体底座、贯通共性需求，又依托专项条款精准滴灌、激活细分领域动能，实现横向联动与纵向穿透的协同倍增效应</w:t>
      </w:r>
      <w:r>
        <w:rPr>
          <w:rFonts w:hint="eastAsia" w:ascii="仿宋_GB2312" w:hAnsi="仿宋_GB2312" w:cs="仿宋_GB2312"/>
          <w:sz w:val="32"/>
          <w:szCs w:val="32"/>
          <w:lang w:eastAsia="zh-CN"/>
        </w:rPr>
        <w:t>，培育专业服务业发展的优质生态</w:t>
      </w:r>
      <w:r>
        <w:rPr>
          <w:rFonts w:hint="eastAsia" w:ascii="Times New Roman" w:hAnsi="Times New Roman" w:cs="Times New Roman"/>
          <w:lang w:eastAsia="zh-CN"/>
        </w:rPr>
        <w:t>。</w:t>
      </w:r>
      <w:r>
        <w:rPr>
          <w:rFonts w:hint="default" w:ascii="Times New Roman" w:hAnsi="Times New Roman" w:cs="Times New Roman"/>
          <w:b/>
          <w:bCs/>
          <w:lang w:eastAsia="zh-CN"/>
        </w:rPr>
        <w:t>三是</w:t>
      </w:r>
      <w:r>
        <w:rPr>
          <w:rFonts w:hint="eastAsia" w:ascii="Times New Roman" w:hAnsi="Times New Roman" w:cs="Times New Roman"/>
          <w:b w:val="0"/>
          <w:bCs w:val="0"/>
          <w:lang w:eastAsia="zh-CN"/>
        </w:rPr>
        <w:t>删繁就简，</w:t>
      </w:r>
      <w:r>
        <w:rPr>
          <w:rFonts w:hint="eastAsia" w:ascii="Times New Roman" w:hAnsi="Times New Roman" w:cs="Times New Roman"/>
          <w:lang w:eastAsia="zh-CN"/>
        </w:rPr>
        <w:t>提升执行效能</w:t>
      </w:r>
      <w:r>
        <w:rPr>
          <w:rFonts w:hint="default" w:ascii="Times New Roman" w:hAnsi="Times New Roman" w:cs="Times New Roman"/>
          <w:lang w:eastAsia="zh-CN"/>
        </w:rPr>
        <w:t>。</w:t>
      </w:r>
      <w:r>
        <w:rPr>
          <w:rFonts w:hint="eastAsia" w:ascii="Times New Roman" w:hAnsi="Times New Roman" w:cs="Times New Roman"/>
          <w:lang w:eastAsia="zh-CN"/>
        </w:rPr>
        <w:t>《若干措施》中</w:t>
      </w:r>
      <w:r>
        <w:rPr>
          <w:rFonts w:hint="eastAsia" w:ascii="仿宋_GB2312" w:hAnsi="仿宋_GB2312" w:eastAsia="仿宋_GB2312" w:cs="仿宋_GB2312"/>
          <w:b w:val="0"/>
          <w:bCs w:val="0"/>
          <w:sz w:val="32"/>
          <w:szCs w:val="32"/>
          <w:lang w:eastAsia="zh-CN"/>
        </w:rPr>
        <w:t>人力资源服务业条款</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bCs/>
          <w:sz w:val="32"/>
          <w:szCs w:val="32"/>
          <w:lang w:val="en"/>
        </w:rPr>
        <w:t>原</w:t>
      </w:r>
      <w:r>
        <w:rPr>
          <w:rFonts w:hint="eastAsia" w:ascii="仿宋_GB2312" w:hAnsi="仿宋_GB2312" w:eastAsia="仿宋_GB2312" w:cs="仿宋_GB2312"/>
          <w:bCs/>
          <w:sz w:val="32"/>
          <w:szCs w:val="32"/>
          <w:lang w:val="en-US" w:eastAsia="zh-CN"/>
        </w:rPr>
        <w:t>《松江区关于进一步创新人力资源服务促进经济社会发展的实施意见》18条基础上删除8条无实质补贴的虚化条款，删除6条从未执行过或与其他区级政策重复的条款，合并2条奖励资质条款，最终减至3条</w:t>
      </w:r>
      <w:r>
        <w:rPr>
          <w:rFonts w:hint="eastAsia" w:ascii="仿宋_GB2312" w:hAnsi="仿宋_GB2312" w:cs="仿宋_GB2312"/>
          <w:bCs/>
          <w:sz w:val="32"/>
          <w:szCs w:val="32"/>
          <w:lang w:val="en-US" w:eastAsia="zh-CN"/>
        </w:rPr>
        <w:t>，</w:t>
      </w:r>
      <w:r>
        <w:rPr>
          <w:rFonts w:hint="eastAsia" w:ascii="Times New Roman" w:hAnsi="Times New Roman" w:cs="Times New Roman"/>
          <w:lang w:eastAsia="zh-CN"/>
        </w:rPr>
        <w:t>进一步明确支持重点，优化财政资金执行绩效。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lang w:eastAsia="zh-CN"/>
        </w:rPr>
      </w:pPr>
      <w:r>
        <w:rPr>
          <w:rFonts w:hint="default" w:ascii="Times New Roman" w:hAnsi="Times New Roman" w:eastAsia="黑体" w:cs="Times New Roman"/>
          <w:lang w:eastAsia="zh-CN"/>
        </w:rPr>
        <w:t>三、主要内容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《若干措施》主要针对</w:t>
      </w:r>
      <w:r>
        <w:rPr>
          <w:rFonts w:hint="eastAsia" w:ascii="仿宋_GB2312" w:hAnsi="微软雅黑" w:eastAsia="仿宋_GB2312" w:cs="仿宋_GB2312"/>
          <w:sz w:val="32"/>
          <w:szCs w:val="32"/>
          <w:shd w:val="clear" w:color="auto" w:fill="FFFFFF"/>
        </w:rPr>
        <w:t>人力资源服务、</w:t>
      </w:r>
      <w:r>
        <w:rPr>
          <w:rFonts w:ascii="仿宋_GB2312" w:hAnsi="微软雅黑" w:eastAsia="仿宋_GB2312" w:cs="仿宋_GB2312"/>
          <w:sz w:val="32"/>
          <w:szCs w:val="32"/>
          <w:shd w:val="clear" w:color="auto" w:fill="FFFFFF"/>
        </w:rPr>
        <w:t>法律服务</w:t>
      </w:r>
      <w:r>
        <w:rPr>
          <w:rFonts w:hint="eastAsia" w:ascii="仿宋_GB2312" w:hAnsi="微软雅黑" w:eastAsia="仿宋_GB2312" w:cs="仿宋_GB2312"/>
          <w:sz w:val="32"/>
          <w:szCs w:val="32"/>
          <w:shd w:val="clear" w:color="auto" w:fill="FFFFFF"/>
        </w:rPr>
        <w:t>、广告服务等</w:t>
      </w:r>
      <w:r>
        <w:rPr>
          <w:rFonts w:hint="eastAsia" w:ascii="仿宋_GB2312" w:hAnsi="仿宋_GB2312" w:eastAsia="仿宋_GB2312" w:cs="仿宋_GB2312"/>
          <w:sz w:val="32"/>
          <w:szCs w:val="32"/>
        </w:rPr>
        <w:t>专业服务业企业（</w:t>
      </w:r>
      <w:r>
        <w:rPr>
          <w:rFonts w:hint="eastAsia" w:ascii="仿宋_GB2312" w:hAnsi="微软雅黑" w:eastAsia="仿宋_GB2312" w:cs="仿宋_GB2312"/>
          <w:sz w:val="32"/>
          <w:szCs w:val="32"/>
          <w:shd w:val="clear" w:color="auto" w:fill="FFFFFF"/>
        </w:rPr>
        <w:t>非法人组织机构参照执行</w:t>
      </w:r>
      <w:r>
        <w:rPr>
          <w:rFonts w:hint="eastAsia" w:ascii="仿宋_GB2312" w:hAnsi="仿宋_GB2312" w:eastAsia="仿宋_GB2312" w:cs="仿宋_GB2312"/>
          <w:sz w:val="32"/>
          <w:szCs w:val="32"/>
        </w:rPr>
        <w:t>），具体标准与《上海市专业服务业统计分类（2025）》保持一致。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lang w:eastAsia="zh-CN"/>
        </w:rPr>
      </w:pP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分为四部分，共八条措施</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第一部分</w:t>
      </w:r>
      <w:r>
        <w:rPr>
          <w:rFonts w:hint="eastAsia" w:ascii="仿宋_GB2312" w:hAnsi="仿宋_GB2312" w:eastAsia="仿宋_GB2312" w:cs="仿宋_GB2312"/>
          <w:sz w:val="32"/>
          <w:szCs w:val="32"/>
          <w:lang w:eastAsia="zh-CN"/>
        </w:rPr>
        <w:t>为专业服务业通用型支持条款，包括</w:t>
      </w:r>
      <w:r>
        <w:rPr>
          <w:rFonts w:hint="eastAsia" w:ascii="仿宋_GB2312" w:hAnsi="仿宋_GB2312" w:eastAsia="仿宋_GB2312" w:cs="仿宋_GB2312"/>
          <w:b w:val="0"/>
          <w:bCs w:val="0"/>
          <w:sz w:val="32"/>
          <w:szCs w:val="32"/>
          <w:lang w:eastAsia="zh-CN"/>
        </w:rPr>
        <w:t>发放专业服务券</w:t>
      </w:r>
      <w:r>
        <w:rPr>
          <w:rFonts w:hint="eastAsia" w:ascii="仿宋_GB2312" w:hAnsi="仿宋_GB2312" w:eastAsia="仿宋_GB2312" w:cs="仿宋_GB2312"/>
          <w:sz w:val="32"/>
          <w:szCs w:val="32"/>
        </w:rPr>
        <w:t>支持企业</w:t>
      </w:r>
      <w:r>
        <w:rPr>
          <w:rFonts w:hint="eastAsia" w:ascii="仿宋_GB2312" w:hAnsi="仿宋_GB2312" w:eastAsia="仿宋_GB2312" w:cs="仿宋_GB2312"/>
          <w:sz w:val="32"/>
          <w:szCs w:val="32"/>
          <w:lang w:eastAsia="zh-CN"/>
        </w:rPr>
        <w:t>加强要素对接</w:t>
      </w:r>
      <w:r>
        <w:rPr>
          <w:rFonts w:hint="eastAsia" w:ascii="仿宋_GB2312" w:hAnsi="仿宋_GB2312" w:eastAsia="仿宋_GB2312" w:cs="仿宋_GB2312"/>
          <w:sz w:val="32"/>
          <w:szCs w:val="32"/>
        </w:rPr>
        <w:t>，支持专业服务业企业</w:t>
      </w:r>
      <w:r>
        <w:rPr>
          <w:rFonts w:hint="eastAsia" w:ascii="仿宋_GB2312" w:hAnsi="仿宋_GB2312" w:eastAsia="仿宋_GB2312" w:cs="仿宋_GB2312"/>
          <w:sz w:val="32"/>
          <w:szCs w:val="32"/>
          <w:lang w:eastAsia="zh-CN"/>
        </w:rPr>
        <w:t>加快构建国际服务市场网络</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支持</w:t>
      </w:r>
      <w:r>
        <w:rPr>
          <w:rFonts w:hint="eastAsia" w:ascii="仿宋_GB2312" w:hAnsi="仿宋_GB2312" w:eastAsia="仿宋_GB2312" w:cs="仿宋_GB2312"/>
          <w:sz w:val="32"/>
          <w:szCs w:val="32"/>
        </w:rPr>
        <w:t>建设专业服务业特色产业园区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第二部分</w:t>
      </w:r>
      <w:r>
        <w:rPr>
          <w:rFonts w:hint="eastAsia" w:ascii="仿宋_GB2312" w:hAnsi="仿宋_GB2312" w:eastAsia="仿宋_GB2312" w:cs="仿宋_GB2312"/>
          <w:sz w:val="32"/>
          <w:szCs w:val="32"/>
          <w:lang w:eastAsia="zh-CN"/>
        </w:rPr>
        <w:t>为人力资源服务业专项条款，包括支持</w:t>
      </w:r>
      <w:r>
        <w:rPr>
          <w:rFonts w:hint="eastAsia" w:ascii="仿宋_GB2312" w:hAnsi="仿宋_GB2312" w:eastAsia="仿宋_GB2312" w:cs="仿宋_GB2312"/>
          <w:sz w:val="32"/>
          <w:szCs w:val="32"/>
          <w:lang w:val="en-US" w:eastAsia="zh-CN"/>
        </w:rPr>
        <w:t>优质人力资源机构与</w:t>
      </w:r>
      <w:r>
        <w:rPr>
          <w:rFonts w:hint="eastAsia" w:ascii="仿宋_GB2312" w:hAnsi="仿宋_GB2312" w:eastAsia="仿宋_GB2312" w:cs="仿宋_GB2312"/>
          <w:b w:val="0"/>
          <w:bCs w:val="0"/>
          <w:color w:val="040404"/>
          <w:sz w:val="32"/>
          <w:szCs w:val="32"/>
          <w:shd w:val="clear" w:color="auto" w:fill="FFFFFF"/>
          <w:lang w:val="en-US" w:eastAsia="zh-CN"/>
        </w:rPr>
        <w:t>“伯乐”计划项目，</w:t>
      </w:r>
      <w:r>
        <w:rPr>
          <w:rFonts w:hint="eastAsia" w:ascii="仿宋_GB2312" w:hAnsi="仿宋_GB2312" w:eastAsia="仿宋_GB2312" w:cs="仿宋_GB2312"/>
          <w:sz w:val="32"/>
          <w:szCs w:val="32"/>
          <w:lang w:val="en-US" w:eastAsia="zh-CN"/>
        </w:rPr>
        <w:t>支持人力资源服务企业保障实体经济企业(重大工程项目)用工等，支持</w:t>
      </w:r>
      <w:r>
        <w:rPr>
          <w:rFonts w:hint="eastAsia" w:ascii="仿宋_GB2312" w:hAnsi="仿宋_GB2312" w:eastAsia="仿宋_GB2312" w:cs="仿宋_GB2312"/>
          <w:b w:val="0"/>
          <w:bCs w:val="0"/>
          <w:color w:val="040404"/>
          <w:sz w:val="32"/>
          <w:szCs w:val="32"/>
          <w:shd w:val="clear" w:color="auto" w:fill="FFFFFF"/>
          <w:lang w:val="en-US" w:eastAsia="zh-CN"/>
        </w:rPr>
        <w:t>人力资源企业加快业态升级和数智化转型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第三部分</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法律服务业专项条款，包括支持</w:t>
      </w:r>
      <w:r>
        <w:rPr>
          <w:rFonts w:hint="eastAsia" w:ascii="仿宋_GB2312" w:hAnsi="仿宋_GB2312" w:eastAsia="仿宋_GB2312" w:cs="仿宋_GB2312"/>
          <w:sz w:val="32"/>
          <w:szCs w:val="32"/>
          <w:lang w:val="en-US" w:eastAsia="zh-CN"/>
        </w:rPr>
        <w:t>品牌综合型、品牌专精型律师事务所及对应入围培育名单的主体；</w:t>
      </w:r>
      <w:r>
        <w:rPr>
          <w:rFonts w:hint="eastAsia" w:ascii="仿宋_GB2312" w:hAnsi="仿宋_GB2312" w:eastAsia="仿宋_GB2312" w:cs="仿宋_GB2312"/>
          <w:b/>
          <w:bCs/>
          <w:sz w:val="32"/>
          <w:szCs w:val="32"/>
          <w:lang w:eastAsia="zh-CN"/>
        </w:rPr>
        <w:t>第四部分</w:t>
      </w:r>
      <w:r>
        <w:rPr>
          <w:rFonts w:hint="eastAsia" w:ascii="仿宋_GB2312" w:hAnsi="仿宋_GB2312" w:eastAsia="仿宋_GB2312" w:cs="仿宋_GB2312"/>
          <w:sz w:val="32"/>
          <w:szCs w:val="32"/>
          <w:lang w:eastAsia="zh-CN"/>
        </w:rPr>
        <w:t>为广告服务业专项条款，包括</w:t>
      </w:r>
      <w:r>
        <w:rPr>
          <w:rFonts w:hint="eastAsia" w:ascii="仿宋_GB2312" w:hAnsi="仿宋_GB2312" w:eastAsia="仿宋_GB2312" w:cs="仿宋_GB2312"/>
          <w:b w:val="0"/>
          <w:bCs w:val="0"/>
          <w:sz w:val="32"/>
          <w:szCs w:val="32"/>
          <w:lang w:eastAsia="zh-CN"/>
        </w:rPr>
        <w:t>支持广告企业获得国家、市级广告协会数字广告证明商标使用许可，获评市级数字广告业高质量发展创新案例及入围案例，获得上海国际广告奖。</w:t>
      </w: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DQyYTEzNzBiYWFmNzE0YmQzMzJmYWI0MTZmODgifQ=="/>
  </w:docVars>
  <w:rsids>
    <w:rsidRoot w:val="00000000"/>
    <w:rsid w:val="256C2A6E"/>
    <w:rsid w:val="26902A9E"/>
    <w:rsid w:val="437E7B6C"/>
    <w:rsid w:val="4DF40454"/>
    <w:rsid w:val="5D720244"/>
    <w:rsid w:val="5FFB8C4E"/>
    <w:rsid w:val="64C564A4"/>
    <w:rsid w:val="6A5B7471"/>
    <w:rsid w:val="6DFFF20E"/>
    <w:rsid w:val="6E3D372C"/>
    <w:rsid w:val="76FEF629"/>
    <w:rsid w:val="77CF3036"/>
    <w:rsid w:val="F4923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_GB2312" w:cs="仿宋_GB2312"/>
      <w:snapToGrid w:val="0"/>
      <w:color w:val="000000"/>
      <w:kern w:val="0"/>
      <w:sz w:val="32"/>
      <w:szCs w:val="30"/>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2023-05-09T09:34:00Z</dcterms:created>
  <dc:creator>Administrator</dc:creator>
  <cp:lastModifiedBy>haier</cp:lastModifiedBy>
  <dcterms:modified xsi:type="dcterms:W3CDTF">2025-08-06T17:14:44Z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095A269CF50B47FE9DCEE76CE42E7D3B_12</vt:lpwstr>
  </property>
</Properties>
</file>